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B4A7" w14:textId="355B36B8" w:rsidR="00592A56" w:rsidRPr="00592A56" w:rsidRDefault="00592A56" w:rsidP="00592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A56">
        <w:rPr>
          <w:rFonts w:ascii="Times New Roman" w:hAnsi="Times New Roman" w:cs="Times New Roman"/>
          <w:b/>
          <w:bCs/>
          <w:sz w:val="24"/>
          <w:szCs w:val="24"/>
        </w:rPr>
        <w:t>CALENDARUL</w:t>
      </w:r>
      <w:r w:rsidRPr="00592A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înscrierii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copiilor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antepreşcolari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preşcolari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2024-2025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unităţi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preuniversitar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personalitate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juridică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grupe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nivel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antepreşcolar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educaţie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timpurie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complementare</w:t>
      </w:r>
      <w:proofErr w:type="spellEnd"/>
    </w:p>
    <w:tbl>
      <w:tblPr>
        <w:tblW w:w="10620" w:type="dxa"/>
        <w:tblInd w:w="-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082"/>
        <w:gridCol w:w="7676"/>
        <w:gridCol w:w="1512"/>
      </w:tblGrid>
      <w:tr w:rsidR="00592A56" w:rsidRPr="00592A56" w14:paraId="04D358AD" w14:textId="77777777" w:rsidTr="00592A56">
        <w:trPr>
          <w:trHeight w:val="1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238CC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A6E0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C520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5017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56" w:rsidRPr="00592A56" w14:paraId="1DF2BEB2" w14:textId="77777777" w:rsidTr="00592A56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A1EA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96946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7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85F0C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Descrierea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etapei</w:t>
            </w:r>
            <w:proofErr w:type="spellEnd"/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3272D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</w:p>
        </w:tc>
      </w:tr>
      <w:tr w:rsidR="00592A56" w:rsidRPr="00592A56" w14:paraId="411A3A22" w14:textId="77777777" w:rsidTr="00592A56">
        <w:trPr>
          <w:trHeight w:val="370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61DF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96C1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reînscrieri</w:t>
            </w:r>
            <w:proofErr w:type="spellEnd"/>
          </w:p>
        </w:tc>
        <w:tc>
          <w:tcPr>
            <w:tcW w:w="7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837D8" w14:textId="77777777" w:rsid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Sunt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frecventat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curent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frecventeze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următor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reprezentanţii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legali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printr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5BF5E" w14:textId="3DE5D64E" w:rsidR="00592A56" w:rsidRP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antepreşcolar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continuităţii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3 ani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mare de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creşă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pot fi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grădiniţă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disponibile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vârstă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ordinea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descrescătoare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vârstei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situaţia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criteriului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vârstei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depăşeşte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disponibile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departajarea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criteriilor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departajare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menţionate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art. 6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Metodologia-cadru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preuniversitar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antepreşcolar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educaţie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timpurie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complementare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aprobată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Ordinul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ministrului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educaţiei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nr. 4.018/2024.</w:t>
            </w:r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B7EB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20-24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592A56" w:rsidRPr="00592A56" w14:paraId="07B90DF6" w14:textId="77777777" w:rsidTr="00592A56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E8A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FE2D9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Afişarea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locuri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după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finalizarea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etapei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reînscrieri</w:t>
            </w:r>
            <w:proofErr w:type="spellEnd"/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E79F3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592A56" w14:paraId="141553AC" w14:textId="77777777" w:rsidTr="00592A56">
        <w:trPr>
          <w:trHeight w:val="26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9500F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14A68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I din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cadrul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înscrieri</w:t>
            </w:r>
            <w:proofErr w:type="spellEnd"/>
          </w:p>
        </w:tc>
        <w:tc>
          <w:tcPr>
            <w:tcW w:w="7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5465" w14:textId="77777777" w:rsidR="00592A56" w:rsidRP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reprezentanţii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legali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exprimate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şcolarizare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reînscrieri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26DA7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27 mai-14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27-31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colectarea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3-5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I - prima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6-10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II-a -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11-12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III-a -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treia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A56" w:rsidRPr="00592A56" w14:paraId="37B6F67D" w14:textId="77777777" w:rsidTr="00592A56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A336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D0B29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Afişarea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locuri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rămase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după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prima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înscrieri</w:t>
            </w:r>
            <w:proofErr w:type="spellEnd"/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F4BE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592A56" w14:paraId="4DF8A237" w14:textId="77777777" w:rsidTr="00592A56">
        <w:trPr>
          <w:trHeight w:val="26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EE9C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077F2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a II-a din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cadrul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înscrieri</w:t>
            </w:r>
            <w:proofErr w:type="spellEnd"/>
          </w:p>
        </w:tc>
        <w:tc>
          <w:tcPr>
            <w:tcW w:w="7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24E8" w14:textId="77777777" w:rsidR="00592A56" w:rsidRP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rămase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derulării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reprezentanţii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legali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exprimate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noile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29AC8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17 iunie-5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17-21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colectarea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24-26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I - prima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 iunie-1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II-a -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procesarea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III-a -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treia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2A56" w:rsidRPr="00592A56" w14:paraId="758E2502" w14:textId="77777777" w:rsidTr="00592A56">
        <w:trPr>
          <w:trHeight w:val="5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3F8F9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35AA6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Afişarea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locuri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rămase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după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doua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înscrieri</w:t>
            </w:r>
            <w:proofErr w:type="spellEnd"/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9653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592A56" w14:paraId="2DBE9897" w14:textId="77777777" w:rsidTr="00592A56">
        <w:trPr>
          <w:trHeight w:val="777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EB922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12D7C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ajustări</w:t>
            </w:r>
            <w:proofErr w:type="spellEnd"/>
          </w:p>
        </w:tc>
        <w:tc>
          <w:tcPr>
            <w:tcW w:w="7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ACD3C" w14:textId="77777777" w:rsidR="00592A56" w:rsidRDefault="00592A56" w:rsidP="0059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primele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motive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participat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primele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rămase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derulării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celei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de-a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elaborate de ISJ/ISMB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.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262A8B" w14:textId="77777777" w:rsidR="00592A56" w:rsidRDefault="00592A56" w:rsidP="0059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rămas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nerepartizaţi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anterioare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prioritate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4 ani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5 ani;</w:t>
            </w:r>
          </w:p>
          <w:p w14:paraId="36BAC99C" w14:textId="0C3CBD61" w:rsidR="00592A56" w:rsidRPr="00592A56" w:rsidRDefault="00592A56" w:rsidP="0059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pregătitoare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nu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admişi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avizului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negativ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al CJRAE/CMBRAE;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 ani care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preşcolar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53E2A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19-29 august 2024</w:t>
            </w:r>
          </w:p>
        </w:tc>
      </w:tr>
      <w:tr w:rsidR="00592A56" w:rsidRPr="00592A56" w14:paraId="124540F8" w14:textId="77777777" w:rsidTr="00592A56">
        <w:trPr>
          <w:trHeight w:val="84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FB4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12D82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Afişarea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numărului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locuri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după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ajustări</w:t>
            </w:r>
            <w:proofErr w:type="spellEnd"/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BB902" w14:textId="77777777" w:rsidR="00592A56" w:rsidRPr="00592A56" w:rsidRDefault="00592A56" w:rsidP="00592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30 august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592A56" w14:paraId="1460BF16" w14:textId="77777777" w:rsidTr="00592A56">
        <w:trPr>
          <w:trHeight w:val="78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A2943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DA78A" w14:textId="77777777" w:rsidR="00592A56" w:rsidRP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Introducerea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SIIIR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tuturor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2024-2025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preuniversitar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antepreşcolar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repartizarea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formaţiuni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15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11574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</w:tr>
    </w:tbl>
    <w:p w14:paraId="306C042E" w14:textId="77777777" w:rsidR="00592A56" w:rsidRDefault="00592A56" w:rsidP="00592A56">
      <w:pPr>
        <w:rPr>
          <w:rFonts w:ascii="Times New Roman" w:hAnsi="Times New Roman" w:cs="Times New Roman"/>
          <w:sz w:val="24"/>
          <w:szCs w:val="24"/>
        </w:rPr>
      </w:pPr>
    </w:p>
    <w:p w14:paraId="5B80177B" w14:textId="77777777" w:rsid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</w:pPr>
    </w:p>
    <w:p w14:paraId="0A35AE3C" w14:textId="77777777" w:rsid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</w:pPr>
    </w:p>
    <w:p w14:paraId="5C4062AF" w14:textId="6BC1F089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  <w:t xml:space="preserve">Criteriile generale de departajare care se aplică  pentru nivelul </w:t>
      </w:r>
      <w:proofErr w:type="spellStart"/>
      <w:r w:rsidRPr="00F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  <w:t>antepreșcolar</w:t>
      </w:r>
      <w:proofErr w:type="spellEnd"/>
      <w:r w:rsidRPr="00F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  <w:t xml:space="preserve"> sunt următoarele:</w:t>
      </w:r>
    </w:p>
    <w:p w14:paraId="22DCEE77" w14:textId="77777777" w:rsid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14:paraId="2D16CCE2" w14:textId="4869EE04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a)copilul 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varsta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2 ani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impliniti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pana la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sfarsitul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anului calendaristic in curs;</w:t>
      </w:r>
    </w:p>
    <w:p w14:paraId="5EBED6DC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b)domiciliul copilului/locul de munca al unuia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/al reprezentantului legal este situat in apropierea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unitatii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invatamant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unde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/reprezentantul legal depune cererea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inscriere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;</w:t>
      </w:r>
    </w:p>
    <w:p w14:paraId="5A45B12D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c)ambii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ai copilului/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unic/reprezentantul legal ai/al copilului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lucreaza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prezinta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adeverinta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reintoarcere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la serviciu, in momentul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validarii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cererii/in termen de 30 de zile de la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inceputul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anului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scolar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, sau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copilului nu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beneficiaza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indemnizatie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pentru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cresterea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si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ingrijirea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copilului;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situatiile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in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/reprezentantul legal face dovada existentei unei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activitati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tip PFA/S.R.L. se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asimileaza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cu cea 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parintilor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reprezentantilor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legali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lucreaza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;</w:t>
      </w:r>
    </w:p>
    <w:p w14:paraId="3EAB03D5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d)cel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putin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unul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/reprezentantul legal al copilului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urmeaza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o forma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invatamant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la zi;</w:t>
      </w:r>
    </w:p>
    <w:p w14:paraId="41BEDF37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e)existenta unui document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dovedeste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beneficiaza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tutela sau de o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masura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protectie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speciala stabilita in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conditiile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Legii nr. 272/2004 privind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protectia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și promovarea drepturilor copilului, republicata, cu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modificarile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si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completarile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ulterioare;</w:t>
      </w:r>
    </w:p>
    <w:p w14:paraId="52861CD7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f)existenta unui document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dovedeste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ca este in grija unui singur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(familie monoparentala)/existenta unui document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dovedeste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/reprezentantul legal al copilului are 3 sau mai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multi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copii (familie numeroasa);</w:t>
      </w:r>
    </w:p>
    <w:p w14:paraId="7E0D5877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g)cel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putin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unul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unic/reprezentantul legal al copilului se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incadreaza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in una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situatiile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:</w:t>
      </w:r>
    </w:p>
    <w:p w14:paraId="6107D0CE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(i)pensionat in conformitate cu prevederile legale;</w:t>
      </w:r>
    </w:p>
    <w:p w14:paraId="03E2472E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(ii)cu certificat de handicap;</w:t>
      </w:r>
    </w:p>
    <w:p w14:paraId="1AD1691C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(iii)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somer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, in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cautarea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unui loc de munca, cu documente doveditoare de la Agenția pentru Ocuparea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Fortei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Munca;</w:t>
      </w:r>
    </w:p>
    <w:p w14:paraId="6EBA0FE4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h)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/reprezentantul legal al copilului are un alt copil minor aflat în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intretinere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(pana la nivelul clasei a IV-a 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invatamantului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primar) si/sau un alt copil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inmatriculat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in unitatea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invatamant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respectiva, in anul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scolar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pentru care se face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inscrierea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.</w:t>
      </w:r>
    </w:p>
    <w:p w14:paraId="73008AEC" w14:textId="77777777" w:rsidR="00F80A9D" w:rsidRPr="00F80A9D" w:rsidRDefault="00F80A9D" w:rsidP="00F80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14:paraId="0C73A238" w14:textId="77777777" w:rsidR="00F80A9D" w:rsidRDefault="00F80A9D" w:rsidP="00F80A9D">
      <w:pPr>
        <w:suppressAutoHyphens/>
        <w:spacing w:after="0" w:line="360" w:lineRule="auto"/>
        <w:rPr>
          <w:rFonts w:ascii="Lato" w:eastAsia="Times New Roman" w:hAnsi="Lato" w:cs="Lato"/>
          <w:color w:val="000000"/>
          <w:sz w:val="21"/>
          <w:szCs w:val="24"/>
          <w:bdr w:val="none" w:sz="0" w:space="0" w:color="000000"/>
          <w:lang w:val="ro-RO" w:eastAsia="zh-CN"/>
        </w:rPr>
      </w:pPr>
      <w:r w:rsidRPr="00F80A9D">
        <w:rPr>
          <w:rFonts w:ascii="Lato" w:eastAsia="Times New Roman" w:hAnsi="Lato" w:cs="Lato"/>
          <w:color w:val="000000"/>
          <w:sz w:val="21"/>
          <w:szCs w:val="24"/>
          <w:bdr w:val="none" w:sz="0" w:space="0" w:color="000000"/>
          <w:lang w:val="ro-RO" w:eastAsia="zh-CN"/>
        </w:rPr>
        <w:tab/>
      </w:r>
    </w:p>
    <w:p w14:paraId="18C5FE64" w14:textId="77777777" w:rsidR="00F80A9D" w:rsidRDefault="00F80A9D" w:rsidP="00F80A9D">
      <w:pPr>
        <w:suppressAutoHyphens/>
        <w:spacing w:after="0" w:line="360" w:lineRule="auto"/>
        <w:rPr>
          <w:rFonts w:ascii="Lato" w:eastAsia="Times New Roman" w:hAnsi="Lato" w:cs="Lato"/>
          <w:color w:val="000000"/>
          <w:sz w:val="21"/>
          <w:szCs w:val="24"/>
          <w:bdr w:val="none" w:sz="0" w:space="0" w:color="000000"/>
          <w:lang w:val="ro-RO" w:eastAsia="zh-CN"/>
        </w:rPr>
      </w:pPr>
    </w:p>
    <w:p w14:paraId="00F37463" w14:textId="77777777" w:rsidR="00F80A9D" w:rsidRDefault="00F80A9D" w:rsidP="00F80A9D">
      <w:pPr>
        <w:suppressAutoHyphens/>
        <w:spacing w:after="0" w:line="360" w:lineRule="auto"/>
        <w:rPr>
          <w:rFonts w:ascii="Lato" w:eastAsia="Times New Roman" w:hAnsi="Lato" w:cs="Lato"/>
          <w:color w:val="000000"/>
          <w:sz w:val="21"/>
          <w:szCs w:val="24"/>
          <w:bdr w:val="none" w:sz="0" w:space="0" w:color="000000"/>
          <w:lang w:val="ro-RO" w:eastAsia="zh-CN"/>
        </w:rPr>
      </w:pPr>
    </w:p>
    <w:p w14:paraId="35818B3A" w14:textId="77777777" w:rsidR="00F80A9D" w:rsidRDefault="00F80A9D" w:rsidP="00F80A9D">
      <w:pPr>
        <w:suppressAutoHyphens/>
        <w:spacing w:after="0" w:line="360" w:lineRule="auto"/>
        <w:rPr>
          <w:rFonts w:ascii="Lato" w:eastAsia="Times New Roman" w:hAnsi="Lato" w:cs="Lato"/>
          <w:color w:val="000000"/>
          <w:sz w:val="21"/>
          <w:szCs w:val="24"/>
          <w:bdr w:val="none" w:sz="0" w:space="0" w:color="000000"/>
          <w:lang w:val="ro-RO" w:eastAsia="zh-CN"/>
        </w:rPr>
      </w:pPr>
    </w:p>
    <w:p w14:paraId="13A8C96F" w14:textId="77777777" w:rsid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</w:pPr>
    </w:p>
    <w:p w14:paraId="76DE6B8E" w14:textId="16C4B6E2" w:rsid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</w:pPr>
      <w:r w:rsidRPr="00F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000000"/>
          <w:lang w:val="ro-RO" w:eastAsia="zh-CN"/>
        </w:rPr>
        <w:t>Criteriile generale de departajare care se aplică  pentru nivelul preșcolar sunt următoarele:</w:t>
      </w:r>
    </w:p>
    <w:p w14:paraId="4F77E9EC" w14:textId="77777777" w:rsidR="007974B5" w:rsidRPr="00F80A9D" w:rsidRDefault="007974B5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14:paraId="4DD10F1C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a)copilul 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varsta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de 4 sau 5 ani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impliniti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la data de 1 septembrie;</w:t>
      </w:r>
    </w:p>
    <w:p w14:paraId="683D8DFF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b)domiciliul copilului/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resedinta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/locul de munca al unuia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/al reprezentantului legal este situat in apropierea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unitatii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invatamant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unde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/reprezentantul legal depune cererea-tip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inscriere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;</w:t>
      </w:r>
    </w:p>
    <w:p w14:paraId="1C7D4DE6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c)cel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putin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unul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/reprezentantul legal al copilului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urmeaza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o forma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invatamant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la zi;</w:t>
      </w:r>
    </w:p>
    <w:p w14:paraId="0E22375E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d)existenta unui document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dovedeste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ca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beneficiaza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de tutela sau de o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masura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protectie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speciala stabilita in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conditiile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Legii nr. 272/2004, republicata, cu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modificarile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si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completarile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ulterioare;</w:t>
      </w:r>
    </w:p>
    <w:p w14:paraId="51B2B736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e)existenta unui document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dovedeste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ca este in grija unui singur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(familie monoparentala)/existenta unui document care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dovedeste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ca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/reprezentantul legal al copilului are 3 sau mai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multi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copii (familie numeroasa);</w:t>
      </w:r>
    </w:p>
    <w:p w14:paraId="502B76F2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f)ambii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parintele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unic/reprezentantul legal ai/al copilului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lucreaza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sau cel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putin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unul dintre ei se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incadreaza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in una dintre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situatiile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:</w:t>
      </w:r>
    </w:p>
    <w:p w14:paraId="2E7F0412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(i) pensionat in conformitate cu prevederile legale;</w:t>
      </w:r>
    </w:p>
    <w:p w14:paraId="59CBFE6E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(ii) cu certificat de handicap;</w:t>
      </w:r>
    </w:p>
    <w:p w14:paraId="01EC9E47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(iii)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somer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, in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cautarea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unui loc de munca, cu documente doveditoare de la Agenția pentru Ocuparea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Fortei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de Munca;</w:t>
      </w:r>
    </w:p>
    <w:p w14:paraId="6D80B4E0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g)existenta unui certificat medical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incadrare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in grad de handicap a copilului si/sau a certificatului de orientare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scolara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si profesionala eliberat de CJRAE/CMBRAE;</w:t>
      </w:r>
    </w:p>
    <w:p w14:paraId="7DA7E039" w14:textId="77777777" w:rsidR="00F80A9D" w:rsidRPr="00F80A9D" w:rsidRDefault="00F80A9D" w:rsidP="00F80A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h)existenta unui frate/a unei surori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inmatriculat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/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inmatriculate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in unitatea de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invatamant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respectiva, in anul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scolar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 xml:space="preserve"> pentru care se face </w:t>
      </w:r>
      <w:proofErr w:type="spellStart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inscrierea</w:t>
      </w:r>
      <w:proofErr w:type="spellEnd"/>
      <w:r w:rsidRPr="00F80A9D">
        <w:rPr>
          <w:rFonts w:ascii="Times New Roman" w:eastAsia="Times New Roman" w:hAnsi="Times New Roman" w:cs="Times New Roman"/>
          <w:sz w:val="24"/>
          <w:szCs w:val="24"/>
          <w:bdr w:val="none" w:sz="0" w:space="0" w:color="000000"/>
          <w:lang w:val="ro-RO" w:eastAsia="zh-CN"/>
        </w:rPr>
        <w:t>.</w:t>
      </w:r>
    </w:p>
    <w:p w14:paraId="15257985" w14:textId="77777777" w:rsidR="00F80A9D" w:rsidRDefault="00F80A9D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7CD9BA2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C194145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CE83143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04F200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ACD72F1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41F8C7F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39FDE8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1DD2E05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43B566F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D60104C" w14:textId="77777777" w:rsid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36D0F5E" w14:textId="77777777" w:rsidR="007974B5" w:rsidRPr="007974B5" w:rsidRDefault="007974B5" w:rsidP="007974B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DOCUMENTE NECESARE ÎNSCRIERII:</w:t>
      </w:r>
    </w:p>
    <w:p w14:paraId="7A2C388A" w14:textId="77777777" w:rsidR="007974B5" w:rsidRPr="007974B5" w:rsidRDefault="007974B5" w:rsidP="007974B5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</w:p>
    <w:p w14:paraId="79F35845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CERERE - TIP DE ÎNSCRIERE PENTRU ANUL ȘCOLAR 2024-2025;</w:t>
      </w:r>
    </w:p>
    <w:p w14:paraId="078E4814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 xml:space="preserve">DECLARAȚIE PE PROPRIA RĂSPUNDERE </w:t>
      </w:r>
    </w:p>
    <w:p w14:paraId="786FE83A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COPIE DUPĂ CERTIFICATUL DE NAȘTERE AL COPILULUI;</w:t>
      </w:r>
    </w:p>
    <w:p w14:paraId="782CE56A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COPIE DUPĂ  BI/ CI ALE PĂRINȚILOR/ TUTORILOR;</w:t>
      </w:r>
    </w:p>
    <w:p w14:paraId="6D6A0685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HOTĂRÂREA DE DIVORȚ  A PĂRINȚILOR (ACOLO UNDE ESTE CAZUL);</w:t>
      </w:r>
    </w:p>
    <w:p w14:paraId="178915A1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DECLARAȚIE –ACORD (OLOGRAFĂ) A CELUILALT PĂRINTE PRIVIND ÎNSCRIEREA LA ACEASTĂ GRĂDINIȚĂ (ACOLO UNDE ESTE CAZUL PĂRINȚILOR DIVORȚAȚI);</w:t>
      </w:r>
    </w:p>
    <w:p w14:paraId="010F77F7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ADEVERINȚE DE SALARIAT ALE PĂRINȚILOR;</w:t>
      </w:r>
    </w:p>
    <w:p w14:paraId="4979F43B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ADEVERINȚA MEDICALĂ DE INTRARE ÎN COLECTIVITATE EMISĂ DE MEDICUL DE FAMILIE;</w:t>
      </w:r>
    </w:p>
    <w:p w14:paraId="669B496F" w14:textId="77777777" w:rsidR="007974B5" w:rsidRPr="007974B5" w:rsidRDefault="007974B5" w:rsidP="007974B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</w:pPr>
      <w:r w:rsidRPr="007974B5">
        <w:rPr>
          <w:rFonts w:ascii="Times New Roman" w:eastAsia="Times New Roman" w:hAnsi="Times New Roman" w:cs="Times New Roman"/>
          <w:sz w:val="28"/>
          <w:szCs w:val="28"/>
          <w:lang w:val="ro-RO" w:eastAsia="zh-CN"/>
        </w:rPr>
        <w:t>DOCUMENTE DOVEDITOARE CARE SĂ JUSTIFICE UNUL DINTRE CRITERIILE GENERALE SAU SPECIFICE</w:t>
      </w:r>
    </w:p>
    <w:p w14:paraId="2681DA1C" w14:textId="77777777" w:rsidR="007974B5" w:rsidRPr="007974B5" w:rsidRDefault="007974B5" w:rsidP="00592A5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7974B5" w:rsidRPr="007974B5" w:rsidSect="00ED565B">
      <w:pgSz w:w="12240" w:h="15840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num w:numId="1" w16cid:durableId="116007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B"/>
    <w:rsid w:val="00012BFB"/>
    <w:rsid w:val="00592A56"/>
    <w:rsid w:val="007974B5"/>
    <w:rsid w:val="007E5807"/>
    <w:rsid w:val="00864118"/>
    <w:rsid w:val="00AF20EB"/>
    <w:rsid w:val="00C8075B"/>
    <w:rsid w:val="00CE6877"/>
    <w:rsid w:val="00ED565B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791F"/>
  <w15:docId w15:val="{31B4AF31-A36C-4BFF-A56A-D51A467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Titlu3">
    <w:name w:val="heading 3"/>
    <w:basedOn w:val="Normal"/>
    <w:link w:val="Titlu3Caracte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customStyle="1" w:styleId="js-calendar1">
    <w:name w:val="js-calendar1"/>
    <w:basedOn w:val="Fontdeparagrafimplici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2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1250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Hp</cp:lastModifiedBy>
  <cp:revision>5</cp:revision>
  <cp:lastPrinted>2024-04-24T10:38:00Z</cp:lastPrinted>
  <dcterms:created xsi:type="dcterms:W3CDTF">2023-06-06T09:53:00Z</dcterms:created>
  <dcterms:modified xsi:type="dcterms:W3CDTF">2024-04-24T11:00:00Z</dcterms:modified>
</cp:coreProperties>
</file>